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35" w:rsidRDefault="008D7A35" w:rsidP="008D7A35">
      <w:pPr>
        <w:shd w:val="clear" w:color="auto" w:fill="FFFFFF" w:themeFill="background1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  <w:lang w:val="uk-UA"/>
        </w:rPr>
        <w:t>ОСВІТНІ ПРОГРАМИ , ЩО РЕАЛІЗУЮТЬСЯ В ДНЗ</w:t>
      </w:r>
    </w:p>
    <w:p w:rsidR="008D7A35" w:rsidRPr="008D7A35" w:rsidRDefault="008D7A35" w:rsidP="008D7A35">
      <w:pPr>
        <w:shd w:val="clear" w:color="auto" w:fill="FFFFFF" w:themeFill="background1"/>
        <w:jc w:val="center"/>
        <w:rPr>
          <w:rFonts w:ascii="Times New Roman" w:hAnsi="Times New Roman" w:cs="Times New Roman"/>
          <w:sz w:val="32"/>
          <w:szCs w:val="32"/>
          <w:shd w:val="clear" w:color="auto" w:fill="F2F3F5"/>
          <w:lang w:val="uk-UA"/>
        </w:rPr>
      </w:pPr>
      <w:proofErr w:type="spellStart"/>
      <w:r w:rsidRPr="008D7A35"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Програма</w:t>
      </w:r>
      <w:proofErr w:type="spellEnd"/>
      <w:r w:rsidRPr="008D7A35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 xml:space="preserve">розвитку </w:t>
      </w:r>
      <w:proofErr w:type="spellStart"/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дитини</w:t>
      </w:r>
      <w:proofErr w:type="spellEnd"/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 xml:space="preserve"> </w:t>
      </w:r>
      <w:proofErr w:type="spellStart"/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дошкільного</w:t>
      </w:r>
      <w:proofErr w:type="spellEnd"/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 xml:space="preserve"> </w:t>
      </w:r>
      <w:proofErr w:type="spellStart"/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віку</w:t>
      </w:r>
      <w:proofErr w:type="spellEnd"/>
      <w:r w:rsidRPr="008D7A35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  <w:r w:rsidRPr="008D7A35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  <w:lang w:val="uk-UA"/>
        </w:rPr>
        <w:t>«</w:t>
      </w:r>
      <w:proofErr w:type="spellStart"/>
      <w:r w:rsidRPr="008D7A35"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Українське</w:t>
      </w:r>
      <w:proofErr w:type="spellEnd"/>
      <w:r w:rsidRPr="008D7A35"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 xml:space="preserve"> </w:t>
      </w:r>
      <w:proofErr w:type="spellStart"/>
      <w:r w:rsidRPr="008D7A35"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</w:rPr>
        <w:t>дошкілля</w:t>
      </w:r>
      <w:proofErr w:type="spellEnd"/>
      <w:r w:rsidRPr="008D7A35">
        <w:rPr>
          <w:rStyle w:val="a3"/>
          <w:rFonts w:ascii="Times New Roman" w:hAnsi="Times New Roman" w:cs="Times New Roman"/>
          <w:b/>
          <w:bCs/>
          <w:i w:val="0"/>
          <w:iCs w:val="0"/>
          <w:color w:val="6A6A6A"/>
          <w:sz w:val="32"/>
          <w:szCs w:val="32"/>
          <w:shd w:val="clear" w:color="auto" w:fill="FFFFFF"/>
          <w:lang w:val="uk-UA"/>
        </w:rPr>
        <w:t>».</w:t>
      </w:r>
      <w:r w:rsidRPr="008D7A35">
        <w:rPr>
          <w:rStyle w:val="apple-converted-space"/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 </w:t>
      </w:r>
      <w:proofErr w:type="spellStart"/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>Оновлена</w:t>
      </w:r>
      <w:proofErr w:type="spellEnd"/>
      <w:r w:rsidRPr="008D7A35">
        <w:rPr>
          <w:rFonts w:ascii="Times New Roman" w:hAnsi="Times New Roman" w:cs="Times New Roman"/>
          <w:color w:val="545454"/>
          <w:sz w:val="32"/>
          <w:szCs w:val="32"/>
          <w:shd w:val="clear" w:color="auto" w:fill="FFFFFF"/>
        </w:rPr>
        <w:t xml:space="preserve"> 2017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val="uk-UA" w:eastAsia="ru-RU"/>
        </w:rPr>
      </w:pPr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val="uk-UA" w:eastAsia="ru-RU"/>
        </w:rPr>
        <w:t xml:space="preserve"> Програма розвитку дитини дошкільного віку «Українське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val="uk-UA" w:eastAsia="ru-RU"/>
        </w:rPr>
        <w:t>дошкілля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val="uk-UA" w:eastAsia="ru-RU"/>
        </w:rPr>
        <w:t xml:space="preserve">» автор-упорядник Білан О.І. (лист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val="uk-UA" w:eastAsia="ru-RU"/>
        </w:rPr>
        <w:t>МОНмолодьспорту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val="uk-UA" w:eastAsia="ru-RU"/>
        </w:rPr>
        <w:t xml:space="preserve"> про надання грифа "Рекомендовано Міністерством освіти і науки, молоді та спорту України" від 09.12.2011 № 1/1111601).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hyperlink r:id="rId5" w:tgtFrame="_blank" w:tooltip="Мета програми:&#10;&#10;- розширити змістовий компонент освітньої&#10;р..." w:history="1">
        <w:r w:rsidRPr="008D7A35">
          <w:rPr>
            <w:rFonts w:ascii="Times New Roman" w:eastAsia="Times New Roman" w:hAnsi="Times New Roman" w:cs="Times New Roman"/>
            <w:color w:val="008ED2"/>
            <w:sz w:val="24"/>
            <w:szCs w:val="24"/>
            <w:lang w:val="uk-UA" w:eastAsia="ru-RU"/>
          </w:rPr>
          <w:t>2.</w:t>
        </w:r>
        <w:r w:rsidRPr="008D7A35">
          <w:rPr>
            <w:rFonts w:ascii="Times New Roman" w:eastAsia="Times New Roman" w:hAnsi="Times New Roman" w:cs="Times New Roman"/>
            <w:color w:val="008ED2"/>
            <w:sz w:val="24"/>
            <w:szCs w:val="24"/>
            <w:lang w:eastAsia="ru-RU"/>
          </w:rPr>
          <w:t> </w:t>
        </w:r>
      </w:hyperlink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val="uk-UA" w:eastAsia="ru-RU"/>
        </w:rPr>
        <w:t xml:space="preserve">Мета програми: - розширити змістовий компонент освітньої роботи з дітьми від 2 до 6 років, розкриваючи етнічні, історичні та соціокультурні особливості Західного регіону.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програми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розглянуті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через призму Базового компонента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освіти</w:t>
      </w:r>
      <w:proofErr w:type="spellEnd"/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Структуру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програми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визначають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лінії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розвитку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дитини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: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фізичний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-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соц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іально-моральний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емоційно-ціннісний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пізнавальний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мовленнєвий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художньо-естетичний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креативний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змі</w:t>
      </w: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ст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програми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виокремлюють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розділи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віковою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періодизацією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: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ранній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(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третій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життя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),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молодший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(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четвертий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життя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),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середній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(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п’ятий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життя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), - старший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(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шостий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рік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життя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), в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яких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подані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стислі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психологічні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характеристики дітей,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розвитку,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змі</w:t>
      </w: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ст</w:t>
      </w:r>
      <w:proofErr w:type="spellEnd"/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і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форми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освітнього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процесу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кожного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змістового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компонента.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Кожен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розділ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змістової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частини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завершується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показниками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компетентності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дитини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hyperlink r:id="rId6" w:tgtFrame="_blank" w:tooltip="Значне місце відведене розділу «Фізичний&#10;&#10;розвиток».&#10;У підр..." w:history="1">
        <w:r w:rsidRPr="008D7A35">
          <w:rPr>
            <w:rFonts w:ascii="Times New Roman" w:eastAsia="Times New Roman" w:hAnsi="Times New Roman" w:cs="Times New Roman"/>
            <w:color w:val="008ED2"/>
            <w:sz w:val="24"/>
            <w:szCs w:val="24"/>
            <w:lang w:eastAsia="ru-RU"/>
          </w:rPr>
          <w:t>. </w:t>
        </w:r>
      </w:hyperlink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Значне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місце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відведене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розділу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Фізичний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розвиток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». У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ідрозділі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Основи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здоров'я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виокремлено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щодо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формування потреби у здоровому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способі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життя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виховання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ставлення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здоров'я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як до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цінності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Мета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реалізації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підрозділу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Безпека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життєдіяльності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підготувати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дітей до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розв’язання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складних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життєвих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ситуацій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навчити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їх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захищати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себе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від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небезпеки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також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запобігати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дитячому травматизму.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hyperlink r:id="rId7" w:tgtFrame="_blank" w:tooltip="У розділі «Соціально-моральний розвиток» введено&#10;напрями ро..." w:history="1">
        <w:r w:rsidRPr="008D7A35">
          <w:rPr>
            <w:rFonts w:ascii="Times New Roman" w:eastAsia="Times New Roman" w:hAnsi="Times New Roman" w:cs="Times New Roman"/>
            <w:color w:val="008ED2"/>
            <w:sz w:val="24"/>
            <w:szCs w:val="24"/>
            <w:lang w:eastAsia="ru-RU"/>
          </w:rPr>
          <w:t> </w:t>
        </w:r>
      </w:hyperlink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розділі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Соц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іально-моральний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розвиток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 введено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напрями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роботи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: -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Духовне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виховання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», -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Основи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правової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культури».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ідрозділи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Ознайомлення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довкіллям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»,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Народознавство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включають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ознайомлення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дітей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із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сімейними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родинними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традиціями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українською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оселею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рідним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краєм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народним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одягом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народною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іграшкою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календарно-обрядовими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святами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національною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кухнею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народними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ремеслами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Західного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регіону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hyperlink r:id="rId8" w:tgtFrame="_blank" w:tooltip="Зміст підрозділу «Ознайомлення з природою»&#10;спрямований на з..." w:history="1">
        <w:r w:rsidRPr="008D7A35">
          <w:rPr>
            <w:rFonts w:ascii="Times New Roman" w:eastAsia="Times New Roman" w:hAnsi="Times New Roman" w:cs="Times New Roman"/>
            <w:color w:val="008ED2"/>
            <w:sz w:val="24"/>
            <w:szCs w:val="24"/>
            <w:lang w:eastAsia="ru-RU"/>
          </w:rPr>
          <w:t> </w:t>
        </w:r>
      </w:hyperlink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Змі</w:t>
      </w: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ст</w:t>
      </w:r>
      <w:proofErr w:type="spellEnd"/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підрозділу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Ознайомлення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природою»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спрямований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на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збагачення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уявлень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про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світ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природи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формування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екологічної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культури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дошкільника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ідрозділ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Логіко-математичний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розвиток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побудований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напрямками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: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Кількість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л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ічба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», «Величина»,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Геометричні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фігури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»,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Орієнтування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в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просторі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»,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Орієнтування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в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часі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».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Діти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старшого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розв’язують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нескладні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народної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математики.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Підрозділ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Основи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економічної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культури» ставить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формувати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ощадливість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у дошкільників</w:t>
      </w: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В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розділі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Мовленнєвий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розвиток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 уточнено 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конкретизовано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формування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правильної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звуковимови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збагачення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активізації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лексичного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запасу,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оволодіння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граматичноправильним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мовленням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зв’язним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мовленням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Однією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із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складових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мовленнєвого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розвитку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є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ідготовки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дітей до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навчання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дітей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елементів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грамоти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підготовки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руки до письма.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hyperlink r:id="rId9" w:tgtFrame="_blank" w:tooltip="Художньо-естетичний розвиток представлений&#10;такими видами ро..." w:history="1">
        <w:r w:rsidRPr="008D7A35">
          <w:rPr>
            <w:rFonts w:ascii="Times New Roman" w:eastAsia="Times New Roman" w:hAnsi="Times New Roman" w:cs="Times New Roman"/>
            <w:color w:val="008ED2"/>
            <w:sz w:val="24"/>
            <w:szCs w:val="24"/>
            <w:lang w:eastAsia="ru-RU"/>
          </w:rPr>
          <w:t> </w:t>
        </w:r>
      </w:hyperlink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Художньо-естетичний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розвиток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представлений такими видами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роботи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: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читання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і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розповідання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художніх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творів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інсценування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драматизація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змістом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творів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музика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образотворча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діяльність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До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переліку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художніх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музичних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творі</w:t>
      </w: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</w:t>
      </w:r>
      <w:proofErr w:type="spellEnd"/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введені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твори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авторів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Західного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регіону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Для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реалізації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креативного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розвитку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пропонується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залучати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дітей до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ізноманітних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видів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роботи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: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інсценування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lastRenderedPageBreak/>
        <w:t>драматизація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твору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його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творчим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переосмисленням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втілення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творчого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задуму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в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образотворчу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діяльність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виготовлення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виробів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із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різноманітних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матеріалів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етюди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пантоміма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пошуково-дослідницька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діяльність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дітей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тощо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hyperlink r:id="rId10" w:tgtFrame="_blank" w:tooltip="Беручи до уваги той аспект, що провідною&#10;діяльністю дітей д..." w:history="1">
        <w:r w:rsidRPr="008D7A35">
          <w:rPr>
            <w:rFonts w:ascii="Times New Roman" w:eastAsia="Times New Roman" w:hAnsi="Times New Roman" w:cs="Times New Roman"/>
            <w:color w:val="008ED2"/>
            <w:sz w:val="24"/>
            <w:szCs w:val="24"/>
            <w:lang w:eastAsia="ru-RU"/>
          </w:rPr>
          <w:t> </w:t>
        </w:r>
      </w:hyperlink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Беручи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уваги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той аспект,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що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провідною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діяльністю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дітей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є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гра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то в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програмі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Українське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дошкілля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розглянуто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такі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види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ігор: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рольові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конструкторсько-будівельні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дидактичні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народні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рухливі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настільно-друковані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ігри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на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розвиток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креативності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Систематизовано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завдання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розвитку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трудових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умінь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Показники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компетентності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вихователь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може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використати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для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визначення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івня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розвитку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дитини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в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кінці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навчального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року.</w:t>
      </w:r>
    </w:p>
    <w:p w:rsidR="008D7A35" w:rsidRPr="008D7A35" w:rsidRDefault="008D7A35" w:rsidP="008D7A35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</w:pP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метою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поліпшення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якості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освітнього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процесу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уточнення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розширення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поглиблення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змісту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в тому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числі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при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наданні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додаткових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освітніх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послуг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роботі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дітьми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можна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використовувати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парціальні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програми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що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були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схвалені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комісією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з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педагогіки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психології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Науково-методичної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ради з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питань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Міністерства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і науки, 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молод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спорту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України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.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Зокрема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це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такі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програми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: - «</w:t>
      </w:r>
      <w:proofErr w:type="spellStart"/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Англ</w:t>
      </w:r>
      <w:proofErr w:type="gram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ійська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мова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для дітей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дошкільного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віку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», автор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Шкваріна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Т.М.; -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Дитяча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хореографія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», автор Шевчук А.С.; -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Кольорові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долоньки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», автор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Ликова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І.О.; - 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Українотворець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керівник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авторського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колективу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Кононенко П.П.; - </w:t>
      </w:r>
      <w:proofErr w:type="gram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«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Лего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-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конструювання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», автор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Пеккер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Т.В. Рекомендовано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Міністерством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і науки,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молоді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спорту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України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(лист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Міністерства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освіти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і науки,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молоді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та спорту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України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</w:t>
      </w:r>
      <w:proofErr w:type="spellStart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>від</w:t>
      </w:r>
      <w:proofErr w:type="spellEnd"/>
      <w:r w:rsidRPr="008D7A35">
        <w:rPr>
          <w:rFonts w:ascii="Times New Roman" w:eastAsia="Times New Roman" w:hAnsi="Times New Roman" w:cs="Times New Roman"/>
          <w:color w:val="3B3835"/>
          <w:sz w:val="24"/>
          <w:szCs w:val="24"/>
          <w:lang w:eastAsia="ru-RU"/>
        </w:rPr>
        <w:t xml:space="preserve"> 09. 12. 2011 р. № 1/11-11601</w:t>
      </w:r>
      <w:proofErr w:type="gramEnd"/>
    </w:p>
    <w:p w:rsidR="0013163C" w:rsidRDefault="0013163C" w:rsidP="008D7A35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200A" w:rsidRDefault="00FD200A" w:rsidP="00FD200A">
      <w:pPr>
        <w:shd w:val="clear" w:color="auto" w:fill="FFFFFF" w:themeFill="background1"/>
        <w:jc w:val="center"/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uk-UA"/>
        </w:rPr>
        <w:t>«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Афлатот</w:t>
      </w:r>
      <w:proofErr w:type="spellEnd"/>
      <w:r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  <w:lang w:val="uk-UA"/>
        </w:rPr>
        <w:t>»</w:t>
      </w:r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–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програма</w:t>
      </w:r>
      <w:proofErr w:type="spellEnd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соціальної</w:t>
      </w:r>
      <w:proofErr w:type="spellEnd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та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фінансової</w:t>
      </w:r>
      <w:proofErr w:type="spellEnd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освіти</w:t>
      </w:r>
      <w:proofErr w:type="spellEnd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дітей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дошкільного</w:t>
      </w:r>
      <w:proofErr w:type="spellEnd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віку</w:t>
      </w:r>
      <w:proofErr w:type="spellEnd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від</w:t>
      </w:r>
      <w:proofErr w:type="spellEnd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 xml:space="preserve"> 3 до 6 </w:t>
      </w:r>
      <w:proofErr w:type="spellStart"/>
      <w:r w:rsidRPr="00FD200A">
        <w:rPr>
          <w:rStyle w:val="a3"/>
          <w:rFonts w:ascii="Times New Roman" w:hAnsi="Times New Roman" w:cs="Times New Roman"/>
          <w:bCs/>
          <w:i w:val="0"/>
          <w:sz w:val="32"/>
          <w:szCs w:val="32"/>
          <w:shd w:val="clear" w:color="auto" w:fill="FFFFFF"/>
        </w:rPr>
        <w:t>років</w:t>
      </w:r>
      <w:proofErr w:type="spellEnd"/>
    </w:p>
    <w:p w:rsidR="00A54F07" w:rsidRDefault="00A54F07" w:rsidP="00A54F07">
      <w:pPr>
        <w:shd w:val="clear" w:color="auto" w:fill="FFFFFF" w:themeFill="background1"/>
        <w:ind w:firstLine="708"/>
        <w:jc w:val="both"/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</w:pPr>
      <w:r>
        <w:rPr>
          <w:rStyle w:val="apple-converted-space"/>
          <w:rFonts w:ascii="Tahoma" w:hAnsi="Tahoma" w:cs="Tahoma"/>
          <w:b/>
          <w:bCs/>
          <w:color w:val="595858"/>
          <w:sz w:val="18"/>
          <w:szCs w:val="18"/>
          <w:shd w:val="clear" w:color="auto" w:fill="FFFFFF"/>
        </w:rPr>
        <w:t> 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Майбутнє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кожної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людини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її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власних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руках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.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Очевидним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те,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що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виховання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соц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іально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–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відповідальних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освічених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фінансовій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сфері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дітей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робить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їх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спроможними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змінити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власне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життя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світ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довкола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на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краще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тим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самим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збільшуючи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шанси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на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успішне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й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щасливе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майбутнє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.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Допомогти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дітям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усвідомити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їх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потенціал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для того,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щоб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зробити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світ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кращим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за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допомогою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освіти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– ось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основна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мі</w:t>
      </w:r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Афлатота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.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Особлива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необхідність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фінансового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навчання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постає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все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більш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очевидною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в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останні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роки.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Незважаючи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на те,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що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ми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живемо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в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св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іті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з швидко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перемінними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економічними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умовами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діти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і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дорослі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всьому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світі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мають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дуже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низький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рівень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фінансової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грамотності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школи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і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вчителі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часто не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мають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можливостей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для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вирішення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цієї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проблеми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.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Внаслідок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недостачі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знань 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сфері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фінансів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діти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молодь часто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стають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жертвами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соц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іально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екологічно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економічно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нестійких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моделей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споживання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.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Афлатот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вирішує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ці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проблеми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шляхом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створення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програми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комплексного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соц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іального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фінансового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навчання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для дітей,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щоб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допомогти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їм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протистояти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подібного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роду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труднощам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.             </w:t>
      </w:r>
      <w:r w:rsidRPr="00A54F07">
        <w:rPr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br/>
      </w:r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  </w:t>
      </w:r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  <w:t xml:space="preserve">  </w:t>
      </w:r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  <w:t>Саме тому МОН України спільно з Міжнародною фундацією «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Aflatoun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International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  <w:t>»(Нідерланди) розпочало упровадження програми соціальної та фінансової освіти дітей дошкільного віку «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  <w:t>Афлатот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  <w:t xml:space="preserve">». </w:t>
      </w:r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Дана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програма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допомагає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дошкільнятам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усвідомити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хто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вони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і як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слід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взаємодіяти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з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іншими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людьми,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надихає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дітей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вивчати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свої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права і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обов’язки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вчить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планувати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бюджет,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раціонально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використовувати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ресурси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оцінювати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наявні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можливості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формує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ідприємницький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дух, 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також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акцентує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увагу на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ролі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сім’ї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сімейних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цінностей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вихованні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.      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Запропонована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програма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соціально-фіна</w:t>
      </w:r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нсової</w:t>
      </w:r>
      <w:proofErr w:type="spellEnd"/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освіти</w:t>
      </w:r>
      <w:proofErr w:type="spellEnd"/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й </w:t>
      </w:r>
      <w:proofErr w:type="spellStart"/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виховання</w:t>
      </w:r>
      <w:proofErr w:type="spellEnd"/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побу</w:t>
      </w:r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дована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іоритетах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і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методичних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ідеях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всесвітнього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руху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із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соціальної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фінансової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освіти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дітей 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віці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3–18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років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–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програмах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«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Афлатот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» (3– 5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років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), «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Афлатун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» (6–14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років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) і «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Афлатін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» (15–18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років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),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які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пояснюють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дітям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основи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lastRenderedPageBreak/>
        <w:t>бюджетування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власних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коштів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вчать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бути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ощадливими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приймати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виважені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ішення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.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Навчаючись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за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цією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програмою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соц</w:t>
      </w:r>
      <w:proofErr w:type="gram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іальної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фінансової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освіти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й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виховання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діти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отримають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рекомендації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й навички як правильно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розпорядитися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своїми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грошима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подолати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складні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фінансові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й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матеріальні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обставини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у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яких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дехто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з них та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їхні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родини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перебувають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, а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також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зможуть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досягти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добробуту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 xml:space="preserve"> в </w:t>
      </w:r>
      <w:proofErr w:type="spellStart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майбутньому</w:t>
      </w:r>
      <w:proofErr w:type="spellEnd"/>
      <w:r w:rsidRPr="00A54F07"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</w:rPr>
        <w:t>.</w:t>
      </w:r>
    </w:p>
    <w:p w:rsidR="00A54F07" w:rsidRDefault="00A54F07" w:rsidP="00A54F07">
      <w:pPr>
        <w:shd w:val="clear" w:color="auto" w:fill="FFFFFF" w:themeFill="background1"/>
        <w:ind w:firstLine="708"/>
        <w:jc w:val="both"/>
        <w:rPr>
          <w:rStyle w:val="fs14"/>
          <w:rFonts w:ascii="Times New Roman" w:hAnsi="Times New Roman" w:cs="Times New Roman"/>
          <w:bCs/>
          <w:color w:val="595858"/>
          <w:sz w:val="24"/>
          <w:szCs w:val="24"/>
          <w:shd w:val="clear" w:color="auto" w:fill="FFFFFF"/>
          <w:lang w:val="uk-UA"/>
        </w:rPr>
      </w:pPr>
    </w:p>
    <w:p w:rsidR="00A54F07" w:rsidRDefault="00A54F07" w:rsidP="00A54F07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Парціальна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програма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з розвитку </w:t>
      </w:r>
      <w:proofErr w:type="spellStart"/>
      <w:proofErr w:type="gramStart"/>
      <w:r w:rsidRPr="00A54F07">
        <w:rPr>
          <w:rFonts w:ascii="Times New Roman" w:hAnsi="Times New Roman" w:cs="Times New Roman"/>
          <w:sz w:val="32"/>
          <w:szCs w:val="32"/>
        </w:rPr>
        <w:t>соц</w:t>
      </w:r>
      <w:proofErr w:type="gramEnd"/>
      <w:r w:rsidRPr="00A54F07">
        <w:rPr>
          <w:rFonts w:ascii="Times New Roman" w:hAnsi="Times New Roman" w:cs="Times New Roman"/>
          <w:sz w:val="32"/>
          <w:szCs w:val="32"/>
        </w:rPr>
        <w:t>іальних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навичок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ефективної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взаємодії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дітей 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4 до 6–7 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4F07" w:rsidRPr="00A54F07" w:rsidRDefault="00A54F07" w:rsidP="00A54F07">
      <w:pPr>
        <w:shd w:val="clear" w:color="auto" w:fill="FFFFFF" w:themeFill="background1"/>
        <w:ind w:firstLine="708"/>
        <w:jc w:val="center"/>
        <w:rPr>
          <w:rStyle w:val="fs14"/>
          <w:rFonts w:ascii="Times New Roman" w:hAnsi="Times New Roman" w:cs="Times New Roman"/>
          <w:bCs/>
          <w:color w:val="595858"/>
          <w:sz w:val="32"/>
          <w:szCs w:val="32"/>
          <w:shd w:val="clear" w:color="auto" w:fill="FFFFFF"/>
          <w:lang w:val="uk-UA"/>
        </w:rPr>
      </w:pPr>
      <w:r w:rsidRPr="00A54F0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Вчимося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32"/>
          <w:szCs w:val="32"/>
        </w:rPr>
        <w:t>жити</w:t>
      </w:r>
      <w:proofErr w:type="spellEnd"/>
      <w:r w:rsidRPr="00A54F07">
        <w:rPr>
          <w:rFonts w:ascii="Times New Roman" w:hAnsi="Times New Roman" w:cs="Times New Roman"/>
          <w:sz w:val="32"/>
          <w:szCs w:val="32"/>
        </w:rPr>
        <w:t xml:space="preserve"> разом»</w:t>
      </w:r>
    </w:p>
    <w:p w:rsidR="00A54F07" w:rsidRPr="00A54F07" w:rsidRDefault="00A54F07" w:rsidP="00A54F0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54F07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Європейського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Союзу (ЄС),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фонду ООН (ЮНІСЕФ) в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впроваджується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проект «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Вчимося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разом». Він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реалізовуватиметься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напрямах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— формування у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життєвих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сприятимуть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позитивній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дітям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A54F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4F07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закладах.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Запропонована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парціальна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з розвитку </w:t>
      </w:r>
      <w:proofErr w:type="spellStart"/>
      <w:proofErr w:type="gramStart"/>
      <w:r w:rsidRPr="00A54F0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54F07">
        <w:rPr>
          <w:rFonts w:ascii="Times New Roman" w:hAnsi="Times New Roman" w:cs="Times New Roman"/>
          <w:sz w:val="24"/>
          <w:szCs w:val="24"/>
        </w:rPr>
        <w:t>іальних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дітей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4 до 6–7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Вчимося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жити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разом»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відображає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накопичений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українського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дошкілля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розв’язання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проблем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соціально-морального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комунікативно-мовленнєвого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розвитку дітей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Водночас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ця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робить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акцент на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посиленні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форм,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прийомів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психолого-педагогічної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з дітьми та батьками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вихованців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F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гнучкого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реагування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соціокультурні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виклики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запити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. Вона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орієнтована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утвердження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житті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загальнолюдських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трансформації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кризових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явищ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A54F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4F07">
        <w:rPr>
          <w:rFonts w:ascii="Times New Roman" w:hAnsi="Times New Roman" w:cs="Times New Roman"/>
          <w:sz w:val="24"/>
          <w:szCs w:val="24"/>
        </w:rPr>
        <w:t xml:space="preserve">ізних сферах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суспільного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буття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впровадження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ідей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виняткового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Особливість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полягає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в тому,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педагогам, </w:t>
      </w:r>
      <w:proofErr w:type="spellStart"/>
      <w:proofErr w:type="gramStart"/>
      <w:r w:rsidRPr="00A54F07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54F07">
        <w:rPr>
          <w:rFonts w:ascii="Times New Roman" w:hAnsi="Times New Roman" w:cs="Times New Roman"/>
          <w:sz w:val="24"/>
          <w:szCs w:val="24"/>
        </w:rPr>
        <w:t>іальним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і батькам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відпрацювати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навички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ефективної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та спілкування з дітьми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віку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поєднує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актуальних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поетапного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відпрацювання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спілкування з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агресії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злості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конфлікту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>, за принципом «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вчуся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карати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домовлятися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запорукою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гармонійно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розвиненої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зрі</w:t>
      </w:r>
      <w:proofErr w:type="gramStart"/>
      <w:r w:rsidRPr="00A54F07">
        <w:rPr>
          <w:rFonts w:ascii="Times New Roman" w:hAnsi="Times New Roman" w:cs="Times New Roman"/>
          <w:sz w:val="24"/>
          <w:szCs w:val="24"/>
        </w:rPr>
        <w:t>лої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відповідальної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F07">
        <w:rPr>
          <w:rFonts w:ascii="Times New Roman" w:hAnsi="Times New Roman" w:cs="Times New Roman"/>
          <w:sz w:val="24"/>
          <w:szCs w:val="24"/>
        </w:rPr>
        <w:t>особистості</w:t>
      </w:r>
      <w:proofErr w:type="spellEnd"/>
      <w:r w:rsidRPr="00A54F07">
        <w:rPr>
          <w:rFonts w:ascii="Times New Roman" w:hAnsi="Times New Roman" w:cs="Times New Roman"/>
          <w:sz w:val="24"/>
          <w:szCs w:val="24"/>
        </w:rPr>
        <w:t>.</w:t>
      </w:r>
    </w:p>
    <w:sectPr w:rsidR="00A54F07" w:rsidRPr="00A54F07" w:rsidSect="0013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0F7C"/>
    <w:multiLevelType w:val="multilevel"/>
    <w:tmpl w:val="B5A03C1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15"/>
    <w:rsid w:val="0013163C"/>
    <w:rsid w:val="00276F57"/>
    <w:rsid w:val="007C6515"/>
    <w:rsid w:val="008D7A35"/>
    <w:rsid w:val="00A54F07"/>
    <w:rsid w:val="00B24E07"/>
    <w:rsid w:val="00F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7A35"/>
    <w:rPr>
      <w:i/>
      <w:iCs/>
    </w:rPr>
  </w:style>
  <w:style w:type="character" w:customStyle="1" w:styleId="apple-converted-space">
    <w:name w:val="apple-converted-space"/>
    <w:basedOn w:val="a0"/>
    <w:rsid w:val="008D7A35"/>
  </w:style>
  <w:style w:type="character" w:styleId="a4">
    <w:name w:val="Hyperlink"/>
    <w:basedOn w:val="a0"/>
    <w:uiPriority w:val="99"/>
    <w:semiHidden/>
    <w:unhideWhenUsed/>
    <w:rsid w:val="008D7A35"/>
    <w:rPr>
      <w:color w:val="0000FF"/>
      <w:u w:val="single"/>
    </w:rPr>
  </w:style>
  <w:style w:type="character" w:customStyle="1" w:styleId="fs14">
    <w:name w:val="fs_14"/>
    <w:basedOn w:val="a0"/>
    <w:rsid w:val="00A54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random-131206065530-phpapp01/95/-7-638.jpg?cb=13863129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.slidesharecdn.com/random-131206065530-phpapp01/95/-6-638.jpg?cb=13863129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age.slidesharecdn.com/random-131206065530-phpapp01/95/-5-638.jpg?cb=13863129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mage.slidesharecdn.com/random-131206065530-phpapp01/95/-2-638.jpg?cb=1386312962" TargetMode="External"/><Relationship Id="rId10" Type="http://schemas.openxmlformats.org/officeDocument/2006/relationships/hyperlink" Target="https://image.slidesharecdn.com/random-131206065530-phpapp01/95/-10-638.jpg?cb=1386312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age.slidesharecdn.com/random-131206065530-phpapp01/95/-9-638.jpg?cb=1386312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2017-12-20T20:49:00Z</dcterms:created>
  <dcterms:modified xsi:type="dcterms:W3CDTF">2017-12-20T21:15:00Z</dcterms:modified>
</cp:coreProperties>
</file>